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1C" w:rsidRPr="008063AA" w:rsidRDefault="00F10D1C" w:rsidP="00F10D1C">
      <w:pPr>
        <w:pStyle w:val="Titolo2"/>
        <w:numPr>
          <w:ilvl w:val="1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ALLEGATO C</w:t>
      </w:r>
    </w:p>
    <w:p w:rsidR="00F10D1C" w:rsidRPr="008063AA" w:rsidRDefault="00F10D1C" w:rsidP="00F10D1C">
      <w:pPr>
        <w:pStyle w:val="Titolo2"/>
        <w:numPr>
          <w:ilvl w:val="1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tabs>
          <w:tab w:val="left" w:pos="0"/>
        </w:tabs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Criteri ambientali minimi</w:t>
      </w:r>
    </w:p>
    <w:p w:rsidR="00A7401E" w:rsidRPr="000E3C0C" w:rsidRDefault="00A7401E" w:rsidP="00A7401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F10D1C" w:rsidRDefault="00F10D1C" w:rsidP="008B043C">
      <w:pPr>
        <w:autoSpaceDE w:val="0"/>
        <w:autoSpaceDN w:val="0"/>
        <w:adjustRightInd w:val="0"/>
        <w:spacing w:after="12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 w:rsidRPr="00F10D1C">
        <w:rPr>
          <w:rFonts w:cs="TimesNewRomanPS-BoldMT"/>
          <w:bCs/>
          <w:color w:val="000000"/>
          <w:sz w:val="24"/>
          <w:szCs w:val="24"/>
        </w:rPr>
        <w:t>A titolo esemplif</w:t>
      </w:r>
      <w:r w:rsidR="00ED779E">
        <w:rPr>
          <w:rFonts w:cs="TimesNewRomanPS-BoldMT"/>
          <w:bCs/>
          <w:color w:val="000000"/>
          <w:sz w:val="24"/>
          <w:szCs w:val="24"/>
        </w:rPr>
        <w:t xml:space="preserve">icativo </w:t>
      </w:r>
      <w:r w:rsidR="00603840">
        <w:rPr>
          <w:rFonts w:cs="TimesNewRomanPS-BoldMT"/>
          <w:bCs/>
          <w:color w:val="000000"/>
          <w:sz w:val="24"/>
          <w:szCs w:val="24"/>
        </w:rPr>
        <w:t xml:space="preserve">e non esaustivo </w:t>
      </w:r>
      <w:bookmarkStart w:id="0" w:name="_GoBack"/>
      <w:bookmarkEnd w:id="0"/>
      <w:r w:rsidR="00ED779E">
        <w:rPr>
          <w:rFonts w:cs="TimesNewRomanPS-BoldMT"/>
          <w:bCs/>
          <w:color w:val="000000"/>
          <w:sz w:val="24"/>
          <w:szCs w:val="24"/>
        </w:rPr>
        <w:t xml:space="preserve">si indicano alcuni dei </w:t>
      </w:r>
      <w:r w:rsidR="00ED779E" w:rsidRPr="00ED779E">
        <w:rPr>
          <w:rFonts w:cs="TimesNewRomanPS-BoldMT"/>
          <w:b/>
          <w:bCs/>
          <w:color w:val="000000"/>
          <w:sz w:val="24"/>
          <w:szCs w:val="24"/>
        </w:rPr>
        <w:t>C</w:t>
      </w:r>
      <w:r w:rsidR="00ED779E">
        <w:rPr>
          <w:rFonts w:cs="TimesNewRomanPS-BoldMT"/>
          <w:b/>
          <w:bCs/>
          <w:color w:val="000000"/>
          <w:sz w:val="24"/>
          <w:szCs w:val="24"/>
        </w:rPr>
        <w:t>riteri Ambientali M</w:t>
      </w:r>
      <w:r w:rsidRPr="00ED779E">
        <w:rPr>
          <w:rFonts w:cs="TimesNewRomanPS-BoldMT"/>
          <w:b/>
          <w:bCs/>
          <w:color w:val="000000"/>
          <w:sz w:val="24"/>
          <w:szCs w:val="24"/>
        </w:rPr>
        <w:t>inimi</w:t>
      </w:r>
      <w:r w:rsidRPr="00F10D1C">
        <w:rPr>
          <w:rFonts w:cs="TimesNewRomanPS-BoldMT"/>
          <w:bCs/>
          <w:color w:val="000000"/>
          <w:sz w:val="24"/>
          <w:szCs w:val="24"/>
        </w:rPr>
        <w:t xml:space="preserve"> </w:t>
      </w:r>
      <w:r w:rsidR="00EE538C" w:rsidRPr="00ED779E">
        <w:rPr>
          <w:rFonts w:cs="TimesNewRomanPS-BoldMT"/>
          <w:b/>
          <w:bCs/>
          <w:color w:val="000000"/>
          <w:sz w:val="24"/>
          <w:szCs w:val="24"/>
        </w:rPr>
        <w:t>per eventi</w:t>
      </w:r>
      <w:r w:rsidR="00EE538C">
        <w:rPr>
          <w:rFonts w:cs="TimesNewRomanPS-BoldMT"/>
          <w:bCs/>
          <w:color w:val="000000"/>
          <w:sz w:val="24"/>
          <w:szCs w:val="24"/>
        </w:rPr>
        <w:t xml:space="preserve"> </w:t>
      </w:r>
      <w:r w:rsidRPr="00F10D1C">
        <w:rPr>
          <w:rFonts w:cs="TimesNewRomanPS-BoldMT"/>
          <w:bCs/>
          <w:color w:val="000000"/>
          <w:sz w:val="24"/>
          <w:szCs w:val="24"/>
        </w:rPr>
        <w:t xml:space="preserve">stabiliti dal </w:t>
      </w:r>
      <w:r w:rsidRPr="00ED779E">
        <w:rPr>
          <w:rFonts w:cs="TimesNewRomanPS-BoldMT"/>
          <w:bCs/>
          <w:color w:val="000000"/>
          <w:sz w:val="24"/>
          <w:szCs w:val="24"/>
          <w:u w:val="single"/>
        </w:rPr>
        <w:t>Decreto del 19 ottobre 2022 del Ministero della Transizione Ecologica e pubblicato sulla Gazzetta Ufficiale in data 02 dicembre 2022 n. 282</w:t>
      </w:r>
      <w:r w:rsidRPr="00F10D1C">
        <w:rPr>
          <w:rFonts w:cs="TimesNewRomanPS-BoldMT"/>
          <w:bCs/>
          <w:color w:val="000000"/>
          <w:sz w:val="24"/>
          <w:szCs w:val="24"/>
        </w:rPr>
        <w:t xml:space="preserve"> che dovranno</w:t>
      </w:r>
      <w:r>
        <w:rPr>
          <w:rFonts w:cs="TimesNewRomanPS-BoldMT"/>
          <w:bCs/>
          <w:color w:val="000000"/>
          <w:sz w:val="24"/>
          <w:szCs w:val="24"/>
        </w:rPr>
        <w:t xml:space="preserve"> essere seguiti per l’organizzazione dei progetti partecipanti all’avviso pubblico.</w:t>
      </w:r>
    </w:p>
    <w:p w:rsidR="007863C9" w:rsidRPr="007863C9" w:rsidRDefault="00EE538C" w:rsidP="007863C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 xml:space="preserve">Riunioni operative: </w:t>
      </w:r>
      <w:r>
        <w:rPr>
          <w:rFonts w:cs="TimesNewRomanPS-BoldMT"/>
          <w:bCs/>
          <w:color w:val="000000"/>
          <w:sz w:val="24"/>
          <w:szCs w:val="24"/>
        </w:rPr>
        <w:t xml:space="preserve">Le riunioni operative necessarie all’organizzazione degli eventi si </w:t>
      </w:r>
      <w:r w:rsidR="00C6060F">
        <w:rPr>
          <w:rFonts w:cs="TimesNewRomanPS-BoldMT"/>
          <w:bCs/>
          <w:color w:val="000000"/>
          <w:sz w:val="24"/>
          <w:szCs w:val="24"/>
        </w:rPr>
        <w:t>dovranno svolgere preferibilmente</w:t>
      </w:r>
      <w:r>
        <w:rPr>
          <w:rFonts w:cs="TimesNewRomanPS-BoldMT"/>
          <w:bCs/>
          <w:color w:val="000000"/>
          <w:sz w:val="24"/>
          <w:szCs w:val="24"/>
        </w:rPr>
        <w:t xml:space="preserve"> usando strumenti telematici quali sistemi di videoconferenza al fine di ridurre al massimo costi e impatti ambientali.</w:t>
      </w:r>
    </w:p>
    <w:p w:rsidR="007863C9" w:rsidRPr="007863C9" w:rsidRDefault="007863C9" w:rsidP="007863C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</w:p>
    <w:p w:rsidR="00EE538C" w:rsidRPr="00EE538C" w:rsidRDefault="00EE538C" w:rsidP="00EE538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 xml:space="preserve">Materiali informativi e promozionali: </w:t>
      </w:r>
      <w:r w:rsidR="00C6060F">
        <w:rPr>
          <w:rFonts w:cs="TimesNewRomanPS-BoldMT"/>
          <w:bCs/>
          <w:color w:val="000000"/>
          <w:sz w:val="24"/>
          <w:szCs w:val="24"/>
        </w:rPr>
        <w:t>T</w:t>
      </w:r>
      <w:r>
        <w:rPr>
          <w:rFonts w:cs="TimesNewRomanPS-BoldMT"/>
          <w:bCs/>
          <w:color w:val="000000"/>
          <w:sz w:val="24"/>
          <w:szCs w:val="24"/>
        </w:rPr>
        <w:t xml:space="preserve">utto il materiale di comunicazione, informazione e promozione dell’evento </w:t>
      </w:r>
      <w:r w:rsidR="00C6060F">
        <w:rPr>
          <w:rFonts w:cs="TimesNewRomanPS-BoldMT"/>
          <w:bCs/>
          <w:color w:val="000000"/>
          <w:sz w:val="24"/>
          <w:szCs w:val="24"/>
        </w:rPr>
        <w:t>dovrà essere</w:t>
      </w:r>
      <w:r>
        <w:rPr>
          <w:rFonts w:cs="TimesNewRomanPS-BoldMT"/>
          <w:bCs/>
          <w:color w:val="000000"/>
          <w:sz w:val="24"/>
          <w:szCs w:val="24"/>
        </w:rPr>
        <w:t xml:space="preserve"> preferibilmente in formato digitale accessibile, usabile, fruibile da tutti, consultabile e scaricabile attraverso web e social media, oppure su supporti cartacei contenenti materiale riciclato o certificati a ridotto impatto ambientale, nonché stampati in modalità fronte retro.</w:t>
      </w:r>
    </w:p>
    <w:p w:rsidR="00EE538C" w:rsidRDefault="00EE538C" w:rsidP="00EE53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 w:rsidRPr="00EE538C">
        <w:rPr>
          <w:rFonts w:cs="TimesNewRomanPS-BoldMT"/>
          <w:bCs/>
          <w:color w:val="000000"/>
          <w:sz w:val="24"/>
          <w:szCs w:val="24"/>
        </w:rPr>
        <w:t xml:space="preserve">I supporti </w:t>
      </w:r>
      <w:r>
        <w:rPr>
          <w:rFonts w:cs="TimesNewRomanPS-BoldMT"/>
          <w:bCs/>
          <w:color w:val="000000"/>
          <w:sz w:val="24"/>
          <w:szCs w:val="24"/>
        </w:rPr>
        <w:t xml:space="preserve">da affissione (locandine e manifesti) sono ammessi </w:t>
      </w:r>
      <w:r w:rsidR="00C6060F">
        <w:rPr>
          <w:rFonts w:cs="TimesNewRomanPS-BoldMT"/>
          <w:bCs/>
          <w:color w:val="000000"/>
          <w:sz w:val="24"/>
          <w:szCs w:val="24"/>
        </w:rPr>
        <w:t xml:space="preserve">preferibilmente </w:t>
      </w:r>
      <w:r>
        <w:rPr>
          <w:rFonts w:cs="TimesNewRomanPS-BoldMT"/>
          <w:bCs/>
          <w:color w:val="000000"/>
          <w:sz w:val="24"/>
          <w:szCs w:val="24"/>
        </w:rPr>
        <w:t xml:space="preserve">in materiale cartaceo riciclato e </w:t>
      </w:r>
      <w:r w:rsidR="00C6060F">
        <w:rPr>
          <w:rFonts w:cs="TimesNewRomanPS-BoldMT"/>
          <w:bCs/>
          <w:color w:val="000000"/>
          <w:sz w:val="24"/>
          <w:szCs w:val="24"/>
        </w:rPr>
        <w:t xml:space="preserve">riciclabile. </w:t>
      </w:r>
    </w:p>
    <w:p w:rsidR="00EE538C" w:rsidRDefault="00EE538C" w:rsidP="00EE53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Tutti i supporti informativi e promozionali fisici e dematerializzati, </w:t>
      </w:r>
      <w:r w:rsidR="00C6060F">
        <w:rPr>
          <w:rFonts w:cs="TimesNewRomanPS-BoldMT"/>
          <w:bCs/>
          <w:color w:val="000000"/>
          <w:sz w:val="24"/>
          <w:szCs w:val="24"/>
        </w:rPr>
        <w:t>dovranno essere</w:t>
      </w:r>
      <w:r>
        <w:rPr>
          <w:rFonts w:cs="TimesNewRomanPS-BoldMT"/>
          <w:bCs/>
          <w:color w:val="000000"/>
          <w:sz w:val="24"/>
          <w:szCs w:val="24"/>
        </w:rPr>
        <w:t xml:space="preserve"> prodotti e distribuiti in quantità adeguata a dare pubblicità e visibilità all’evento contestualmente riducendo al minimo lo spreco di materiali, di energia e la produzione dei rifiuti.</w:t>
      </w:r>
    </w:p>
    <w:p w:rsidR="007863C9" w:rsidRDefault="007863C9" w:rsidP="00EE538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</w:p>
    <w:p w:rsidR="00EE538C" w:rsidRDefault="00EE538C" w:rsidP="00EE538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 xml:space="preserve">Gadget e premi: </w:t>
      </w:r>
      <w:r w:rsidR="00C6060F">
        <w:rPr>
          <w:rFonts w:cs="TimesNewRomanPS-BoldMT"/>
          <w:bCs/>
          <w:color w:val="000000"/>
          <w:sz w:val="24"/>
          <w:szCs w:val="24"/>
        </w:rPr>
        <w:t xml:space="preserve">La distribuzione di gadget </w:t>
      </w:r>
      <w:r w:rsidR="00420DE3">
        <w:rPr>
          <w:rFonts w:cs="TimesNewRomanPS-BoldMT"/>
          <w:bCs/>
          <w:color w:val="000000"/>
          <w:sz w:val="24"/>
          <w:szCs w:val="24"/>
        </w:rPr>
        <w:t xml:space="preserve">e pacchi gara </w:t>
      </w:r>
      <w:r w:rsidR="001C1363">
        <w:rPr>
          <w:rFonts w:cs="TimesNewRomanPS-BoldMT"/>
          <w:bCs/>
          <w:color w:val="000000"/>
          <w:sz w:val="24"/>
          <w:szCs w:val="24"/>
        </w:rPr>
        <w:t>dovrà</w:t>
      </w:r>
      <w:r w:rsidR="00420DE3">
        <w:rPr>
          <w:rFonts w:cs="TimesNewRomanPS-BoldMT"/>
          <w:bCs/>
          <w:color w:val="000000"/>
          <w:sz w:val="24"/>
          <w:szCs w:val="24"/>
        </w:rPr>
        <w:t xml:space="preserve"> </w:t>
      </w:r>
      <w:r w:rsidR="001C1363">
        <w:rPr>
          <w:rFonts w:cs="TimesNewRomanPS-BoldMT"/>
          <w:bCs/>
          <w:color w:val="000000"/>
          <w:sz w:val="24"/>
          <w:szCs w:val="24"/>
        </w:rPr>
        <w:t>essere preferibilmente attinente</w:t>
      </w:r>
      <w:r w:rsidR="00420DE3">
        <w:rPr>
          <w:rFonts w:cs="TimesNewRomanPS-BoldMT"/>
          <w:bCs/>
          <w:color w:val="000000"/>
          <w:sz w:val="24"/>
          <w:szCs w:val="24"/>
        </w:rPr>
        <w:t xml:space="preserve"> alla fruizione dell’evento, riutilizzabili e realizzati con materiale riciclato. I premi dovranno essere possibilmente coerenti con le scelte ambientali e sociali dell’evento promuovendo i principi di sostenibilità (</w:t>
      </w:r>
      <w:r w:rsidR="000A7D9F">
        <w:rPr>
          <w:rFonts w:cs="TimesNewRomanPS-BoldMT"/>
          <w:bCs/>
          <w:color w:val="000000"/>
          <w:sz w:val="24"/>
          <w:szCs w:val="24"/>
        </w:rPr>
        <w:t xml:space="preserve">ad esempio prodotti enogastronomici biologici, artigianato locale prodotto con materiali di recupero, </w:t>
      </w:r>
      <w:proofErr w:type="spellStart"/>
      <w:r w:rsidR="000A7D9F">
        <w:rPr>
          <w:rFonts w:cs="TimesNewRomanPS-BoldMT"/>
          <w:bCs/>
          <w:color w:val="000000"/>
          <w:sz w:val="24"/>
          <w:szCs w:val="24"/>
        </w:rPr>
        <w:t>etc</w:t>
      </w:r>
      <w:proofErr w:type="spellEnd"/>
      <w:r w:rsidR="000A7D9F">
        <w:rPr>
          <w:rFonts w:cs="TimesNewRomanPS-BoldMT"/>
          <w:bCs/>
          <w:color w:val="000000"/>
          <w:sz w:val="24"/>
          <w:szCs w:val="24"/>
        </w:rPr>
        <w:t>).</w:t>
      </w:r>
      <w:r w:rsidR="00420DE3">
        <w:rPr>
          <w:rFonts w:cs="TimesNewRomanPS-BoldMT"/>
          <w:bCs/>
          <w:color w:val="000000"/>
          <w:sz w:val="24"/>
          <w:szCs w:val="24"/>
        </w:rPr>
        <w:t xml:space="preserve"> </w:t>
      </w:r>
    </w:p>
    <w:p w:rsidR="007863C9" w:rsidRPr="00EE538C" w:rsidRDefault="007863C9" w:rsidP="007863C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</w:p>
    <w:p w:rsidR="007863C9" w:rsidRDefault="00002A2B" w:rsidP="007863C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 w:rsidRPr="00002A2B">
        <w:rPr>
          <w:rFonts w:cs="TimesNewRomanPS-BoldMT"/>
          <w:b/>
          <w:bCs/>
          <w:color w:val="000000"/>
          <w:sz w:val="24"/>
          <w:szCs w:val="24"/>
        </w:rPr>
        <w:t>Acustica</w:t>
      </w:r>
      <w:r w:rsidR="00EE538C" w:rsidRPr="00002A2B">
        <w:rPr>
          <w:rFonts w:cs="TimesNewRomanPS-BoldMT"/>
          <w:b/>
          <w:bCs/>
          <w:color w:val="000000"/>
          <w:sz w:val="24"/>
          <w:szCs w:val="24"/>
        </w:rPr>
        <w:t>:</w:t>
      </w:r>
      <w:r w:rsidR="000A7D9F" w:rsidRPr="00002A2B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0A7D9F" w:rsidRPr="00002A2B">
        <w:rPr>
          <w:rFonts w:cs="TimesNewRomanPS-BoldMT"/>
          <w:bCs/>
          <w:color w:val="000000"/>
          <w:sz w:val="24"/>
          <w:szCs w:val="24"/>
        </w:rPr>
        <w:t xml:space="preserve">rispettare le prescrizioni in materia di rumore rilasciate dal Comune nell’autorizzazione per le manifestazioni temporanee, ai sensi della Legge n. 447 del 26 ottobre 1995, presentando valutazione di impatto acustico e adottando tutti </w:t>
      </w:r>
      <w:r w:rsidR="00747739" w:rsidRPr="00002A2B">
        <w:rPr>
          <w:rFonts w:cs="TimesNewRomanPS-BoldMT"/>
          <w:bCs/>
          <w:color w:val="000000"/>
          <w:sz w:val="24"/>
          <w:szCs w:val="24"/>
        </w:rPr>
        <w:t xml:space="preserve">i possibili accorgimenti tecnici e procedurali per la limitazione del disturbo; </w:t>
      </w:r>
    </w:p>
    <w:p w:rsidR="00002A2B" w:rsidRPr="00002A2B" w:rsidRDefault="00002A2B" w:rsidP="00002A2B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</w:p>
    <w:p w:rsidR="00EE538C" w:rsidRDefault="00EE538C" w:rsidP="00EE538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Mobilità sostenibile per raggiungere l’evento:</w:t>
      </w:r>
      <w:r w:rsidR="001328A9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1328A9">
        <w:rPr>
          <w:rFonts w:cs="TimesNewRomanPS-BoldMT"/>
          <w:bCs/>
          <w:color w:val="000000"/>
          <w:sz w:val="24"/>
          <w:szCs w:val="24"/>
        </w:rPr>
        <w:t xml:space="preserve">Al fine di ridurre le emissioni dei gas ad effetto serra è preferibile attivare servizi di mobilità sostenibile dedicati, come ad esempio navette da/per parcheggi scambiatori, </w:t>
      </w:r>
      <w:proofErr w:type="spellStart"/>
      <w:r w:rsidR="001328A9">
        <w:rPr>
          <w:rFonts w:cs="TimesNewRomanPS-BoldMT"/>
          <w:bCs/>
          <w:color w:val="000000"/>
          <w:sz w:val="24"/>
          <w:szCs w:val="24"/>
        </w:rPr>
        <w:t>nonchè</w:t>
      </w:r>
      <w:proofErr w:type="spellEnd"/>
      <w:r w:rsidR="001328A9">
        <w:rPr>
          <w:rFonts w:cs="TimesNewRomanPS-BoldMT"/>
          <w:bCs/>
          <w:color w:val="000000"/>
          <w:sz w:val="24"/>
          <w:szCs w:val="24"/>
        </w:rPr>
        <w:t xml:space="preserve"> mettere a disposizione informazioni su come raggiungere il luogo dell’evento tramite mezzi di trasporto pubblici o collettivi, servizi di </w:t>
      </w:r>
      <w:proofErr w:type="spellStart"/>
      <w:r w:rsidR="001328A9">
        <w:rPr>
          <w:rFonts w:cs="TimesNewRomanPS-BoldMT"/>
          <w:bCs/>
          <w:color w:val="000000"/>
          <w:sz w:val="24"/>
          <w:szCs w:val="24"/>
        </w:rPr>
        <w:t>sharing</w:t>
      </w:r>
      <w:proofErr w:type="spellEnd"/>
      <w:r w:rsidR="001328A9">
        <w:rPr>
          <w:rFonts w:cs="TimesNewRomanPS-BoldMT"/>
          <w:bCs/>
          <w:color w:val="000000"/>
          <w:sz w:val="24"/>
          <w:szCs w:val="24"/>
        </w:rPr>
        <w:t xml:space="preserve"> </w:t>
      </w:r>
      <w:proofErr w:type="spellStart"/>
      <w:r w:rsidR="001328A9">
        <w:rPr>
          <w:rFonts w:cs="TimesNewRomanPS-BoldMT"/>
          <w:bCs/>
          <w:color w:val="000000"/>
          <w:sz w:val="24"/>
          <w:szCs w:val="24"/>
        </w:rPr>
        <w:t>mobility</w:t>
      </w:r>
      <w:proofErr w:type="spellEnd"/>
      <w:r w:rsidR="001328A9">
        <w:rPr>
          <w:rFonts w:cs="TimesNewRomanPS-BoldMT"/>
          <w:bCs/>
          <w:color w:val="000000"/>
          <w:sz w:val="24"/>
          <w:szCs w:val="24"/>
        </w:rPr>
        <w:t xml:space="preserve"> o a piedi.</w:t>
      </w:r>
    </w:p>
    <w:p w:rsidR="007863C9" w:rsidRPr="007863C9" w:rsidRDefault="007863C9" w:rsidP="007863C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</w:p>
    <w:p w:rsidR="00C6060F" w:rsidRDefault="00C6060F" w:rsidP="00C6060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Tovaglioli, piatti, posate e bicchieri:</w:t>
      </w:r>
      <w:r w:rsidR="00223A45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223A45">
        <w:rPr>
          <w:rFonts w:cs="TimesNewRomanPS-BoldMT"/>
          <w:bCs/>
          <w:color w:val="000000"/>
          <w:sz w:val="24"/>
          <w:szCs w:val="24"/>
        </w:rPr>
        <w:t xml:space="preserve">I tovaglioli monouso in carta dovranno essere in possesso del marchio di qualità ecologica mentre piatti, bicchieri e posate </w:t>
      </w:r>
      <w:r w:rsidR="008B043C">
        <w:rPr>
          <w:rFonts w:cs="TimesNewRomanPS-BoldMT"/>
          <w:bCs/>
          <w:color w:val="000000"/>
          <w:sz w:val="24"/>
          <w:szCs w:val="24"/>
        </w:rPr>
        <w:t xml:space="preserve">monouso </w:t>
      </w:r>
      <w:r w:rsidR="00223A45">
        <w:rPr>
          <w:rFonts w:cs="TimesNewRomanPS-BoldMT"/>
          <w:bCs/>
          <w:color w:val="000000"/>
          <w:sz w:val="24"/>
          <w:szCs w:val="24"/>
        </w:rPr>
        <w:t xml:space="preserve">dovranno essere </w:t>
      </w:r>
      <w:r w:rsidR="008B043C">
        <w:rPr>
          <w:rFonts w:cs="TimesNewRomanPS-BoldMT"/>
          <w:bCs/>
          <w:color w:val="000000"/>
          <w:sz w:val="24"/>
          <w:szCs w:val="24"/>
        </w:rPr>
        <w:t>biodegradabili e compostabili oppure costituiti di materiale riciclabile e costituito da almeno il 30% di materiale riciclato.</w:t>
      </w:r>
    </w:p>
    <w:p w:rsidR="007863C9" w:rsidRPr="007863C9" w:rsidRDefault="007863C9" w:rsidP="007863C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</w:p>
    <w:p w:rsidR="00C6060F" w:rsidRDefault="00C6060F" w:rsidP="00C6060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lastRenderedPageBreak/>
        <w:t>Gestione dei rifiuti:</w:t>
      </w:r>
      <w:r w:rsidR="008B043C">
        <w:rPr>
          <w:rFonts w:cs="TimesNewRomanPS-BoldMT"/>
          <w:bCs/>
          <w:color w:val="000000"/>
          <w:sz w:val="24"/>
          <w:szCs w:val="24"/>
        </w:rPr>
        <w:t xml:space="preserve"> La gestione dei rifiuti prodotti nello svolgimento dell’evento dovrà essere effettuata in conformità alle modalità previste nel territorio in cui verrà svolto, garantendo la raccolta differenziata. L’organizzatore dell’evento </w:t>
      </w:r>
      <w:r w:rsidR="001C1363">
        <w:rPr>
          <w:rFonts w:cs="TimesNewRomanPS-BoldMT"/>
          <w:bCs/>
          <w:color w:val="000000"/>
          <w:sz w:val="24"/>
          <w:szCs w:val="24"/>
        </w:rPr>
        <w:t>dovrà concordare</w:t>
      </w:r>
      <w:r w:rsidR="008B043C">
        <w:rPr>
          <w:rFonts w:cs="TimesNewRomanPS-BoldMT"/>
          <w:bCs/>
          <w:color w:val="000000"/>
          <w:sz w:val="24"/>
          <w:szCs w:val="24"/>
        </w:rPr>
        <w:t xml:space="preserve"> l’attivazione di un servizio specifico di raccolta dei rifiuti con il Comune di Gabicce Mare.</w:t>
      </w:r>
    </w:p>
    <w:p w:rsidR="007863C9" w:rsidRPr="007863C9" w:rsidRDefault="007863C9" w:rsidP="007863C9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</w:p>
    <w:p w:rsidR="00C6060F" w:rsidRPr="00C6060F" w:rsidRDefault="00C6060F" w:rsidP="00C6060F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Comunicazioni al pubblico:</w:t>
      </w:r>
      <w:r w:rsidR="008B043C">
        <w:rPr>
          <w:rFonts w:cs="TimesNewRomanPS-BoldMT"/>
          <w:bCs/>
          <w:color w:val="000000"/>
          <w:sz w:val="24"/>
          <w:szCs w:val="24"/>
        </w:rPr>
        <w:t xml:space="preserve"> Dovranno essere possibilmente svolte attività di comunicazione al fine di diffondere le scelte gestionali e le buone pratiche adottate dall’organizzazione oltre che le azioni che potranno essere intraprese dai fruitori per contribuire a ridurre gli impatti ambientali associati all’evento stesso. In particolare le informazioni potranno riguardare: mezzi di trasporto messi a disposizione per raggiungere l’evento; raccolta differenziata e comportamenti sostenibili, oltre che le migliori pratiche per fruire dell’evento all’insegna dei principi della riduzione e prevenzione dei rifiuti; facilitazioni attivate per garantire l’accessibilità e la fruibilità dell’evento alle persone con disabilità e con esigenze specifiche.</w:t>
      </w:r>
    </w:p>
    <w:p w:rsidR="00C6060F" w:rsidRPr="00C6060F" w:rsidRDefault="00C6060F" w:rsidP="00C6060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000000"/>
          <w:sz w:val="24"/>
          <w:szCs w:val="24"/>
        </w:rPr>
      </w:pPr>
    </w:p>
    <w:p w:rsidR="00F10D1C" w:rsidRDefault="00F10D1C" w:rsidP="005A40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 </w:t>
      </w:r>
    </w:p>
    <w:sectPr w:rsidR="00F10D1C" w:rsidSect="000C560F">
      <w:headerReference w:type="default" r:id="rId8"/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39" w:rsidRDefault="006E4739" w:rsidP="000C560F">
      <w:pPr>
        <w:spacing w:after="0" w:line="240" w:lineRule="auto"/>
      </w:pPr>
      <w:r>
        <w:separator/>
      </w:r>
    </w:p>
  </w:endnote>
  <w:endnote w:type="continuationSeparator" w:id="0">
    <w:p w:rsidR="006E4739" w:rsidRDefault="006E4739" w:rsidP="000C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39" w:rsidRDefault="006E4739" w:rsidP="000C560F">
      <w:pPr>
        <w:spacing w:after="0" w:line="240" w:lineRule="auto"/>
      </w:pPr>
      <w:r>
        <w:separator/>
      </w:r>
    </w:p>
  </w:footnote>
  <w:footnote w:type="continuationSeparator" w:id="0">
    <w:p w:rsidR="006E4739" w:rsidRDefault="006E4739" w:rsidP="000C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0F" w:rsidRDefault="000C560F">
    <w:pPr>
      <w:pStyle w:val="Intestazione"/>
    </w:pPr>
    <w:r>
      <w:rPr>
        <w:rFonts w:cs="TimesNewRomanPS-BoldMT"/>
        <w:b/>
        <w:bCs/>
        <w:noProof/>
        <w:color w:val="000000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1290F633" wp14:editId="5E41B4CD">
          <wp:simplePos x="0" y="0"/>
          <wp:positionH relativeFrom="column">
            <wp:posOffset>4747260</wp:posOffset>
          </wp:positionH>
          <wp:positionV relativeFrom="paragraph">
            <wp:posOffset>-63500</wp:posOffset>
          </wp:positionV>
          <wp:extent cx="1511300" cy="563245"/>
          <wp:effectExtent l="0" t="0" r="0" b="8255"/>
          <wp:wrapSquare wrapText="bothSides"/>
          <wp:docPr id="4" name="Immagine 4" descr="Z:\Settore02\ArchivioII\TURISMO SPORT CULTURA\LOGHI\logo_gabiccemaremonte_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ettore02\ArchivioII\TURISMO SPORT CULTURA\LOGHI\logo_gabiccemaremonte_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NewRomanPS-BoldMT"/>
        <w:b/>
        <w:bCs/>
        <w:noProof/>
        <w:color w:val="000000"/>
        <w:sz w:val="28"/>
        <w:szCs w:val="28"/>
        <w:lang w:eastAsia="it-IT"/>
      </w:rPr>
      <w:drawing>
        <wp:inline distT="0" distB="0" distL="0" distR="0" wp14:anchorId="19C2181B" wp14:editId="46239269">
          <wp:extent cx="600075" cy="710325"/>
          <wp:effectExtent l="0" t="0" r="0" b="0"/>
          <wp:docPr id="3" name="Immagine 3" descr="Z:\Settore02\ArchivioII\TURISMO SPORT CULTURA\LOGHI\logo comune di gabicc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ttore02\ArchivioII\TURISMO SPORT CULTURA\LOGHI\logo comune di gabicce mar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60" cy="70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60F" w:rsidRDefault="000C5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7E4D1A"/>
    <w:multiLevelType w:val="hybridMultilevel"/>
    <w:tmpl w:val="A1386EC4"/>
    <w:lvl w:ilvl="0" w:tplc="D168027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2F2B"/>
    <w:multiLevelType w:val="hybridMultilevel"/>
    <w:tmpl w:val="7F0EBC66"/>
    <w:lvl w:ilvl="0" w:tplc="FDEE2E9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356B"/>
    <w:multiLevelType w:val="hybridMultilevel"/>
    <w:tmpl w:val="96001E4C"/>
    <w:lvl w:ilvl="0" w:tplc="CA409F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D75BE"/>
    <w:multiLevelType w:val="hybridMultilevel"/>
    <w:tmpl w:val="0C28C65E"/>
    <w:lvl w:ilvl="0" w:tplc="F5AC5A28">
      <w:start w:val="3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705B"/>
    <w:multiLevelType w:val="hybridMultilevel"/>
    <w:tmpl w:val="7700DE36"/>
    <w:lvl w:ilvl="0" w:tplc="D604E0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A36D7"/>
    <w:multiLevelType w:val="hybridMultilevel"/>
    <w:tmpl w:val="35DA4E60"/>
    <w:lvl w:ilvl="0" w:tplc="212CE7B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52EA0"/>
    <w:multiLevelType w:val="hybridMultilevel"/>
    <w:tmpl w:val="6290B3C4"/>
    <w:lvl w:ilvl="0" w:tplc="F4B45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3EF3"/>
    <w:multiLevelType w:val="hybridMultilevel"/>
    <w:tmpl w:val="AFD0619E"/>
    <w:lvl w:ilvl="0" w:tplc="27A669F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704F"/>
    <w:multiLevelType w:val="hybridMultilevel"/>
    <w:tmpl w:val="3AB21312"/>
    <w:lvl w:ilvl="0" w:tplc="9522E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500A"/>
    <w:multiLevelType w:val="hybridMultilevel"/>
    <w:tmpl w:val="32DCB21E"/>
    <w:lvl w:ilvl="0" w:tplc="F56E3CA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748"/>
    <w:multiLevelType w:val="hybridMultilevel"/>
    <w:tmpl w:val="275EC1BC"/>
    <w:lvl w:ilvl="0" w:tplc="58FC436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37CB"/>
    <w:multiLevelType w:val="hybridMultilevel"/>
    <w:tmpl w:val="5486E8AE"/>
    <w:lvl w:ilvl="0" w:tplc="212CE7B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60"/>
    <w:rsid w:val="00002A2B"/>
    <w:rsid w:val="00053E53"/>
    <w:rsid w:val="000A7D9F"/>
    <w:rsid w:val="000C560F"/>
    <w:rsid w:val="000E3C0C"/>
    <w:rsid w:val="001328A9"/>
    <w:rsid w:val="00156827"/>
    <w:rsid w:val="0017334D"/>
    <w:rsid w:val="001C1363"/>
    <w:rsid w:val="001C4D82"/>
    <w:rsid w:val="00214BF2"/>
    <w:rsid w:val="00223A45"/>
    <w:rsid w:val="00255D08"/>
    <w:rsid w:val="002D3E2E"/>
    <w:rsid w:val="002F3595"/>
    <w:rsid w:val="00306F7D"/>
    <w:rsid w:val="00335877"/>
    <w:rsid w:val="004043EC"/>
    <w:rsid w:val="00420DE3"/>
    <w:rsid w:val="00437885"/>
    <w:rsid w:val="0048264B"/>
    <w:rsid w:val="00483286"/>
    <w:rsid w:val="00491BFD"/>
    <w:rsid w:val="004C5A48"/>
    <w:rsid w:val="004F5A4D"/>
    <w:rsid w:val="004F71BF"/>
    <w:rsid w:val="005022B6"/>
    <w:rsid w:val="00515D5C"/>
    <w:rsid w:val="005A4003"/>
    <w:rsid w:val="005B463F"/>
    <w:rsid w:val="005F47B9"/>
    <w:rsid w:val="00603840"/>
    <w:rsid w:val="00641E27"/>
    <w:rsid w:val="00664497"/>
    <w:rsid w:val="006A2392"/>
    <w:rsid w:val="006B7D74"/>
    <w:rsid w:val="006C7738"/>
    <w:rsid w:val="006E4739"/>
    <w:rsid w:val="00741264"/>
    <w:rsid w:val="00747739"/>
    <w:rsid w:val="007863C9"/>
    <w:rsid w:val="007B3B8D"/>
    <w:rsid w:val="007F62C7"/>
    <w:rsid w:val="008B043C"/>
    <w:rsid w:val="008E497F"/>
    <w:rsid w:val="00915F60"/>
    <w:rsid w:val="00947064"/>
    <w:rsid w:val="009C35EC"/>
    <w:rsid w:val="009E43FD"/>
    <w:rsid w:val="009F03D4"/>
    <w:rsid w:val="00A636FB"/>
    <w:rsid w:val="00A7401E"/>
    <w:rsid w:val="00A934E8"/>
    <w:rsid w:val="00AA171C"/>
    <w:rsid w:val="00AC779F"/>
    <w:rsid w:val="00AD53BC"/>
    <w:rsid w:val="00B65360"/>
    <w:rsid w:val="00B76BE6"/>
    <w:rsid w:val="00BA453E"/>
    <w:rsid w:val="00BB0F4A"/>
    <w:rsid w:val="00BE53CE"/>
    <w:rsid w:val="00C0244D"/>
    <w:rsid w:val="00C6060F"/>
    <w:rsid w:val="00C80C09"/>
    <w:rsid w:val="00C95400"/>
    <w:rsid w:val="00CC146F"/>
    <w:rsid w:val="00CC4AC8"/>
    <w:rsid w:val="00CE6013"/>
    <w:rsid w:val="00D20131"/>
    <w:rsid w:val="00D519E2"/>
    <w:rsid w:val="00D62089"/>
    <w:rsid w:val="00DA62AC"/>
    <w:rsid w:val="00DA728F"/>
    <w:rsid w:val="00DB42BC"/>
    <w:rsid w:val="00E64735"/>
    <w:rsid w:val="00E80ED5"/>
    <w:rsid w:val="00EB260E"/>
    <w:rsid w:val="00ED779E"/>
    <w:rsid w:val="00EE4FF7"/>
    <w:rsid w:val="00EE538C"/>
    <w:rsid w:val="00F10D1C"/>
    <w:rsid w:val="00F23847"/>
    <w:rsid w:val="00F372A0"/>
    <w:rsid w:val="00F53D79"/>
    <w:rsid w:val="00F67003"/>
    <w:rsid w:val="00F75964"/>
    <w:rsid w:val="00F8712E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3E756C"/>
  <w15:docId w15:val="{48972DE0-DCDD-4CB5-B58A-1E46803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F10D1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5A4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C35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0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5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60F"/>
  </w:style>
  <w:style w:type="paragraph" w:styleId="Pidipagina">
    <w:name w:val="footer"/>
    <w:basedOn w:val="Normale"/>
    <w:link w:val="PidipaginaCarattere"/>
    <w:uiPriority w:val="99"/>
    <w:unhideWhenUsed/>
    <w:rsid w:val="000C5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60F"/>
  </w:style>
  <w:style w:type="table" w:styleId="Grigliatabella">
    <w:name w:val="Table Grid"/>
    <w:basedOn w:val="Tabellanormale"/>
    <w:uiPriority w:val="59"/>
    <w:rsid w:val="00EB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F10D1C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DFF3-4D67-4A7F-93F3-75733199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federicac</dc:creator>
  <cp:lastModifiedBy>Magi Federica</cp:lastModifiedBy>
  <cp:revision>11</cp:revision>
  <cp:lastPrinted>2022-03-02T11:21:00Z</cp:lastPrinted>
  <dcterms:created xsi:type="dcterms:W3CDTF">2023-01-13T09:34:00Z</dcterms:created>
  <dcterms:modified xsi:type="dcterms:W3CDTF">2023-01-13T11:10:00Z</dcterms:modified>
</cp:coreProperties>
</file>